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6DBE51F0" wp14:editId="395A4B37">
                <wp:simplePos x="0" y="0"/>
                <wp:positionH relativeFrom="page">
                  <wp:posOffset>533400</wp:posOffset>
                </wp:positionH>
                <wp:positionV relativeFrom="page">
                  <wp:posOffset>466725</wp:posOffset>
                </wp:positionV>
                <wp:extent cx="4829175" cy="97155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71550"/>
                        </a:xfrm>
                        <a:prstGeom prst="rect">
                          <a:avLst/>
                        </a:prstGeom>
                        <a:noFill/>
                        <a:ln w="9525">
                          <a:noFill/>
                          <a:miter lim="800000"/>
                          <a:headEnd/>
                          <a:tailEnd/>
                        </a:ln>
                      </wps:spPr>
                      <wps:txbx>
                        <w:txbxContent>
                          <w:p w:rsidR="0041792F" w:rsidRDefault="00FD0C25" w:rsidP="007579A4">
                            <w:pPr>
                              <w:rPr>
                                <w:rFonts w:ascii="Eurostile T OT" w:hAnsi="Eurostile T OT" w:cs="Calibri"/>
                                <w:b/>
                                <w:color w:val="92D050"/>
                                <w:sz w:val="32"/>
                                <w:szCs w:val="32"/>
                                <w:lang w:val="sk-SK"/>
                              </w:rPr>
                            </w:pPr>
                            <w:r w:rsidRPr="00FD0C25">
                              <w:rPr>
                                <w:rFonts w:ascii="Eurostile T OT" w:hAnsi="Eurostile T OT" w:cs="Calibri"/>
                                <w:b/>
                                <w:color w:val="92D050"/>
                                <w:sz w:val="32"/>
                                <w:szCs w:val="32"/>
                                <w:lang w:val="sk-SK"/>
                              </w:rPr>
                              <w:t>Dodávatelia – Povinnosť preregistrácie sa blíži. Viete o svojich povinnostiach v rámci RPVS? Ďalšie problematické inštitúty a ich aplikácia v praxi.</w:t>
                            </w:r>
                          </w:p>
                          <w:p w:rsidR="007579A4" w:rsidRPr="00303380" w:rsidRDefault="00FD0C25"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11</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7</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36.75pt;width:380.2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" filled="f" stroked="f">
                <v:textbox inset="0,0,0,0">
                  <w:txbxContent>
                    <w:p w:rsidR="0041792F" w:rsidRDefault="00FD0C25" w:rsidP="007579A4">
                      <w:pPr>
                        <w:rPr>
                          <w:rFonts w:ascii="Eurostile T OT" w:hAnsi="Eurostile T OT" w:cs="Calibri"/>
                          <w:b/>
                          <w:color w:val="92D050"/>
                          <w:sz w:val="32"/>
                          <w:szCs w:val="32"/>
                          <w:lang w:val="sk-SK"/>
                        </w:rPr>
                      </w:pPr>
                      <w:r w:rsidRPr="00FD0C25">
                        <w:rPr>
                          <w:rFonts w:ascii="Eurostile T OT" w:hAnsi="Eurostile T OT" w:cs="Calibri"/>
                          <w:b/>
                          <w:color w:val="92D050"/>
                          <w:sz w:val="32"/>
                          <w:szCs w:val="32"/>
                          <w:lang w:val="sk-SK"/>
                        </w:rPr>
                        <w:t>Dodávatelia – Povinnosť preregistrácie sa blíži. Viete o svojich povinnostiach v rámci RPVS? Ďalšie problematické inštitúty a ich aplikácia v praxi.</w:t>
                      </w:r>
                    </w:p>
                    <w:p w:rsidR="007579A4" w:rsidRPr="00303380" w:rsidRDefault="00FD0C25"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11</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7</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58044D87" wp14:editId="381F180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41792F" w:rsidRDefault="00367525" w:rsidP="00367525">
      <w:pPr>
        <w:jc w:val="both"/>
        <w:rPr>
          <w:rFonts w:ascii="Eurostile T OT" w:hAnsi="Eurostile T OT" w:cs="Calibri"/>
          <w:noProof/>
          <w:sz w:val="22"/>
          <w:szCs w:val="22"/>
          <w:lang w:val="sk-SK"/>
        </w:rPr>
      </w:pPr>
      <w:r w:rsidRPr="0041792F">
        <w:rPr>
          <w:rFonts w:ascii="Eurostile T OT" w:hAnsi="Eurostile T OT" w:cs="Calibri"/>
          <w:noProof/>
          <w:sz w:val="22"/>
          <w:szCs w:val="22"/>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182ADC"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120</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182ADC" w:rsidRDefault="00FD0C25" w:rsidP="00FD0C25">
      <w:p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Proti schránkový zákon priniesol od 1.2.2017 zmeny vo verejnom obstarávaní a povinnosti hospodárskym subjektom, ktoré by ste nemali podceniť. Všetci  registrovaní partneri verejného sektora k 1.2.2017 majú povinnosť preregistrácie k 31.7.2017. Nech Vás to neprekvapí pred podpisom zmluvy. V rámci školenia si prejdeme aj aplikačné problémy problematických zákonných inštitútov, ktoré priniesol zákon o verejnom obstarávaní a ako ich riešiť. Jednotný európsky dokument – zmena metodiky ÚVO.</w:t>
      </w:r>
    </w:p>
    <w:p w:rsidR="00FD0C25" w:rsidRDefault="00FD0C25" w:rsidP="00FD0C25">
      <w:pPr>
        <w:autoSpaceDE w:val="0"/>
        <w:autoSpaceDN w:val="0"/>
        <w:adjustRightInd w:val="0"/>
        <w:rPr>
          <w:rFonts w:ascii="Eurostile T OT" w:hAnsi="Eurostile T OT"/>
          <w:sz w:val="22"/>
          <w:szCs w:val="22"/>
          <w:lang w:val="sk-SK"/>
        </w:rPr>
      </w:pPr>
    </w:p>
    <w:p w:rsidR="00FD0C25" w:rsidRP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Proti schránkový zákon - dôležité povinnosti dodávateľov, základné pojmy, registračný orgán, oprávnené osoby, sankcie, povinná preregistrácia, zmeny zákona o verejnom obstarávaní.</w:t>
      </w:r>
    </w:p>
    <w:p w:rsidR="00FD0C25" w:rsidRP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Zmena finančných limitov – zmena postupov pri zadávaní zákazky.</w:t>
      </w:r>
    </w:p>
    <w:p w:rsidR="00FD0C25" w:rsidRP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 xml:space="preserve">Prehľad problematických ustanovení zákona o verejnom obstarávaní, ich aplikácia v praxi pri príprave ponuky – podmienky účasti, </w:t>
      </w:r>
      <w:proofErr w:type="spellStart"/>
      <w:r w:rsidRPr="00FD0C25">
        <w:rPr>
          <w:rFonts w:ascii="Eurostile T OT" w:hAnsi="Eurostile T OT"/>
          <w:sz w:val="22"/>
          <w:szCs w:val="22"/>
          <w:lang w:val="sk-SK"/>
        </w:rPr>
        <w:t>samoočisťovací</w:t>
      </w:r>
      <w:proofErr w:type="spellEnd"/>
      <w:r w:rsidRPr="00FD0C25">
        <w:rPr>
          <w:rFonts w:ascii="Eurostile T OT" w:hAnsi="Eurostile T OT"/>
          <w:sz w:val="22"/>
          <w:szCs w:val="22"/>
          <w:lang w:val="sk-SK"/>
        </w:rPr>
        <w:t xml:space="preserve"> mechanizmus, jednotný európsky dokument – ako ho vyplniť z pozície uchádzača, subdodávateľa a „inej osoby“. </w:t>
      </w:r>
      <w:proofErr w:type="spellStart"/>
      <w:r w:rsidRPr="00FD0C25">
        <w:rPr>
          <w:rFonts w:ascii="Eurostile T OT" w:hAnsi="Eurostile T OT"/>
          <w:sz w:val="22"/>
          <w:szCs w:val="22"/>
          <w:lang w:val="sk-SK"/>
        </w:rPr>
        <w:t>Kolúzne</w:t>
      </w:r>
      <w:proofErr w:type="spellEnd"/>
      <w:r w:rsidRPr="00FD0C25">
        <w:rPr>
          <w:rFonts w:ascii="Eurostile T OT" w:hAnsi="Eurostile T OT"/>
          <w:sz w:val="22"/>
          <w:szCs w:val="22"/>
          <w:lang w:val="sk-SK"/>
        </w:rPr>
        <w:t xml:space="preserve"> správanie  - čo v prípade keď je môj subdodávateľ aj uchádzačom v tom istom postupe zadávania zákazky ?</w:t>
      </w:r>
    </w:p>
    <w:p w:rsidR="00FD0C25" w:rsidRP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Konflikt záujmov, predbežné trhové konzultácie, etické zásady vo verejnom obstarávaní</w:t>
      </w:r>
    </w:p>
    <w:p w:rsidR="00FD0C25" w:rsidRP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Príklady z praxe.</w:t>
      </w:r>
    </w:p>
    <w:p w:rsidR="00FD0C25" w:rsidRDefault="00FD0C25" w:rsidP="00FD0C25">
      <w:pPr>
        <w:pStyle w:val="Odsekzoznamu"/>
        <w:numPr>
          <w:ilvl w:val="0"/>
          <w:numId w:val="16"/>
        </w:numPr>
        <w:autoSpaceDE w:val="0"/>
        <w:autoSpaceDN w:val="0"/>
        <w:adjustRightInd w:val="0"/>
        <w:rPr>
          <w:rFonts w:ascii="Eurostile T OT" w:hAnsi="Eurostile T OT"/>
          <w:sz w:val="22"/>
          <w:szCs w:val="22"/>
          <w:lang w:val="sk-SK"/>
        </w:rPr>
      </w:pPr>
      <w:r w:rsidRPr="00FD0C25">
        <w:rPr>
          <w:rFonts w:ascii="Eurostile T OT" w:hAnsi="Eurostile T OT"/>
          <w:sz w:val="22"/>
          <w:szCs w:val="22"/>
          <w:lang w:val="sk-SK"/>
        </w:rPr>
        <w:t>Vaše problémy a otázky.</w:t>
      </w:r>
    </w:p>
    <w:p w:rsidR="00FD0C25" w:rsidRPr="00FD0C25" w:rsidRDefault="00FD0C25" w:rsidP="00FD0C25">
      <w:pPr>
        <w:pStyle w:val="Odsekzoznamu"/>
        <w:autoSpaceDE w:val="0"/>
        <w:autoSpaceDN w:val="0"/>
        <w:adjustRightInd w:val="0"/>
        <w:rPr>
          <w:rFonts w:ascii="Eurostile T OT" w:hAnsi="Eurostile T OT"/>
          <w:sz w:val="22"/>
          <w:szCs w:val="22"/>
          <w:lang w:val="sk-SK"/>
        </w:rPr>
      </w:pPr>
    </w:p>
    <w:p w:rsidR="007579A4" w:rsidRPr="00303380" w:rsidRDefault="002A5008" w:rsidP="0041792F">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41792F" w:rsidRDefault="002A5008" w:rsidP="0041792F">
      <w:pPr>
        <w:autoSpaceDE w:val="0"/>
        <w:autoSpaceDN w:val="0"/>
        <w:adjustRightInd w:val="0"/>
        <w:spacing w:after="120"/>
        <w:jc w:val="both"/>
        <w:rPr>
          <w:rFonts w:ascii="Eurostile T OT" w:hAnsi="Eurostile T OT" w:cs="Calibri"/>
          <w:b/>
          <w:color w:val="F09100"/>
          <w:sz w:val="22"/>
          <w:szCs w:val="22"/>
          <w:lang w:val="sk-SK"/>
        </w:rPr>
      </w:pPr>
      <w:r w:rsidRPr="0041792F">
        <w:rPr>
          <w:rFonts w:ascii="Eurostile T OT" w:hAnsi="Eurostile T OT" w:cs="Calibri"/>
          <w:color w:val="404040"/>
          <w:sz w:val="22"/>
          <w:szCs w:val="22"/>
          <w:lang w:val="sk-SK"/>
        </w:rPr>
        <w:t>Termín kona</w:t>
      </w:r>
      <w:r w:rsidR="007579A4" w:rsidRPr="0041792F">
        <w:rPr>
          <w:rFonts w:ascii="Eurostile T OT" w:hAnsi="Eurostile T OT" w:cs="Calibri"/>
          <w:color w:val="404040"/>
          <w:sz w:val="22"/>
          <w:szCs w:val="22"/>
          <w:lang w:val="sk-SK"/>
        </w:rPr>
        <w:t>n</w:t>
      </w:r>
      <w:r w:rsidRPr="0041792F">
        <w:rPr>
          <w:rFonts w:ascii="Eurostile T OT" w:hAnsi="Eurostile T OT" w:cs="Calibri"/>
          <w:color w:val="404040"/>
          <w:sz w:val="22"/>
          <w:szCs w:val="22"/>
          <w:lang w:val="sk-SK"/>
        </w:rPr>
        <w:t>ia</w:t>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00FD0C25">
        <w:rPr>
          <w:rFonts w:ascii="Eurostile T OT" w:hAnsi="Eurostile T OT" w:cs="Calibri"/>
          <w:color w:val="404040"/>
          <w:sz w:val="22"/>
          <w:szCs w:val="22"/>
          <w:lang w:val="sk-SK"/>
        </w:rPr>
        <w:t>11</w:t>
      </w:r>
      <w:r w:rsidR="00182ADC">
        <w:rPr>
          <w:rFonts w:ascii="Eurostile T OT" w:hAnsi="Eurostile T OT" w:cs="Calibri"/>
          <w:color w:val="404040"/>
          <w:sz w:val="22"/>
          <w:szCs w:val="22"/>
          <w:lang w:val="sk-SK"/>
        </w:rPr>
        <w:t>.</w:t>
      </w:r>
      <w:r w:rsidR="002E5060">
        <w:rPr>
          <w:rFonts w:ascii="Eurostile T OT" w:hAnsi="Eurostile T OT" w:cs="Calibri"/>
          <w:color w:val="404040"/>
          <w:sz w:val="22"/>
          <w:szCs w:val="22"/>
          <w:lang w:val="sk-SK"/>
        </w:rPr>
        <w:t xml:space="preserve"> </w:t>
      </w:r>
      <w:r w:rsidR="00FD0C25">
        <w:rPr>
          <w:rFonts w:ascii="Eurostile T OT" w:hAnsi="Eurostile T OT" w:cs="Calibri"/>
          <w:color w:val="404040"/>
          <w:sz w:val="22"/>
          <w:szCs w:val="22"/>
          <w:lang w:val="sk-SK"/>
        </w:rPr>
        <w:t>7</w:t>
      </w:r>
      <w:r w:rsidR="00C45893"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 xml:space="preserve"> 2017</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Počet osô</w:t>
      </w:r>
      <w:r w:rsidR="007579A4" w:rsidRPr="0041792F">
        <w:rPr>
          <w:rFonts w:ascii="Eurostile T OT" w:hAnsi="Eurostile T OT" w:cs="Calibri"/>
          <w:color w:val="404040"/>
          <w:sz w:val="22"/>
          <w:szCs w:val="22"/>
          <w:lang w:val="sk-SK"/>
        </w:rPr>
        <w:t>b:</w:t>
      </w:r>
      <w:r w:rsidRPr="0041792F">
        <w:rPr>
          <w:rFonts w:ascii="Eurostile T OT" w:hAnsi="Eurostile T OT" w:cs="Calibri"/>
          <w:color w:val="404040"/>
          <w:sz w:val="22"/>
          <w:szCs w:val="22"/>
          <w:lang w:val="sk-SK"/>
        </w:rPr>
        <w:tab/>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Meno: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Priezvisko: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Pozícia:</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w:t>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Obchodné</w:t>
      </w:r>
      <w:r w:rsidR="007579A4" w:rsidRPr="0041792F">
        <w:rPr>
          <w:rFonts w:ascii="Eurostile T OT" w:hAnsi="Eurostile T OT" w:cs="Calibri"/>
          <w:color w:val="404040"/>
          <w:sz w:val="22"/>
          <w:szCs w:val="22"/>
          <w:lang w:val="sk-SK"/>
        </w:rPr>
        <w:t xml:space="preserve"> m</w:t>
      </w:r>
      <w:r w:rsidRPr="0041792F">
        <w:rPr>
          <w:rFonts w:ascii="Eurostile T OT" w:hAnsi="Eurostile T OT" w:cs="Calibri"/>
          <w:color w:val="404040"/>
          <w:sz w:val="22"/>
          <w:szCs w:val="22"/>
          <w:lang w:val="sk-SK"/>
        </w:rPr>
        <w:t>e</w:t>
      </w:r>
      <w:r w:rsidR="007579A4" w:rsidRPr="0041792F">
        <w:rPr>
          <w:rFonts w:ascii="Eurostile T OT" w:hAnsi="Eurostile T OT" w:cs="Calibri"/>
          <w:color w:val="404040"/>
          <w:sz w:val="22"/>
          <w:szCs w:val="22"/>
          <w:lang w:val="sk-SK"/>
        </w:rPr>
        <w:t>no:…………………………………………………………………………………………………………</w:t>
      </w:r>
      <w:r w:rsidR="00D2647B" w:rsidRPr="0041792F">
        <w:rPr>
          <w:rFonts w:ascii="Eurostile T OT" w:hAnsi="Eurostile T OT" w:cs="Calibri"/>
          <w:color w:val="404040"/>
          <w:sz w:val="22"/>
          <w:szCs w:val="22"/>
          <w:lang w:val="sk-SK"/>
        </w:rPr>
        <w:t>…………………………….</w:t>
      </w:r>
    </w:p>
    <w:p w:rsidR="00D2647B" w:rsidRPr="0041792F" w:rsidRDefault="00D2647B"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Ulica</w:t>
      </w:r>
      <w:r w:rsidR="007579A4"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Me</w:t>
      </w:r>
      <w:r w:rsidR="007579A4" w:rsidRPr="0041792F">
        <w:rPr>
          <w:rFonts w:ascii="Eurostile T OT" w:hAnsi="Eurostile T OT" w:cs="Calibri"/>
          <w:color w:val="404040"/>
          <w:sz w:val="22"/>
          <w:szCs w:val="22"/>
          <w:lang w:val="sk-SK"/>
        </w:rPr>
        <w:t>sto……….…………..</w:t>
      </w:r>
      <w:r w:rsidR="007579A4"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ab/>
        <w:t>PSČ…</w:t>
      </w:r>
      <w:r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IČ</w:t>
      </w:r>
      <w:r w:rsidR="002A5008" w:rsidRPr="0041792F">
        <w:rPr>
          <w:rFonts w:ascii="Eurostile T OT" w:hAnsi="Eurostile T OT" w:cs="Calibri"/>
          <w:color w:val="404040"/>
          <w:sz w:val="22"/>
          <w:szCs w:val="22"/>
          <w:lang w:val="sk-SK"/>
        </w:rPr>
        <w:t>O…………………………</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DIČ…………………………..</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IČ PDH</w:t>
      </w:r>
      <w:r w:rsidRPr="0041792F">
        <w:rPr>
          <w:rFonts w:ascii="Eurostile T OT" w:hAnsi="Eurostile T OT" w:cs="Calibri"/>
          <w:color w:val="404040"/>
          <w:sz w:val="22"/>
          <w:szCs w:val="22"/>
          <w:lang w:val="sk-SK"/>
        </w:rPr>
        <w:t>:</w:t>
      </w:r>
      <w:r w:rsidR="002A5008"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41FB0" w:rsidRPr="0041792F" w:rsidRDefault="00741FB0" w:rsidP="0041792F">
      <w:pPr>
        <w:jc w:val="both"/>
        <w:rPr>
          <w:rFonts w:ascii="Eurostile T OT" w:hAnsi="Eurostile T OT" w:cs="Calibri"/>
          <w:color w:val="404040"/>
          <w:sz w:val="22"/>
          <w:szCs w:val="22"/>
          <w:lang w:val="sk-SK"/>
        </w:rPr>
      </w:pPr>
    </w:p>
    <w:p w:rsidR="00E5176E"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Tel.: ……………………………………………………………………………..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w:t>
      </w:r>
    </w:p>
    <w:p w:rsidR="002A5008" w:rsidRPr="00303380" w:rsidRDefault="00182ADC" w:rsidP="002A5008">
      <w:pPr>
        <w:jc w:val="both"/>
        <w:rPr>
          <w:rFonts w:ascii="Eurostile T OT" w:hAnsi="Eurostile T OT" w:cs="Calibri"/>
          <w:color w:val="000000"/>
          <w:sz w:val="18"/>
          <w:szCs w:val="18"/>
          <w:lang w:val="sk-SK"/>
        </w:rPr>
      </w:pPr>
      <w:bookmarkStart w:id="0" w:name="_GoBack"/>
      <w:bookmarkEnd w:id="0"/>
      <w:r>
        <w:rPr>
          <w:rFonts w:ascii="Eurostile T OT" w:hAnsi="Eurostile T OT" w:cs="Calibri"/>
          <w:color w:val="000000"/>
          <w:sz w:val="18"/>
          <w:szCs w:val="18"/>
          <w:lang w:val="sk-SK"/>
        </w:rPr>
        <w:t>Cena za 1 osobu 120</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41792F" w:rsidRDefault="002A5008" w:rsidP="0041792F">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41792F">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urostile T OT">
    <w:panose1 w:val="02000000000000000000"/>
    <w:charset w:val="00"/>
    <w:family w:val="modern"/>
    <w:notTrueType/>
    <w:pitch w:val="variable"/>
    <w:sig w:usb0="800000AF" w:usb1="50002048"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nsid w:val="5128325B"/>
    <w:multiLevelType w:val="hybridMultilevel"/>
    <w:tmpl w:val="2A62544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63DB5"/>
    <w:multiLevelType w:val="hybridMultilevel"/>
    <w:tmpl w:val="28E4089A"/>
    <w:lvl w:ilvl="0" w:tplc="4C8E696E">
      <w:numFmt w:val="bullet"/>
      <w:lvlText w:val="•"/>
      <w:lvlJc w:val="left"/>
      <w:pPr>
        <w:ind w:left="1065" w:hanging="705"/>
      </w:pPr>
      <w:rPr>
        <w:rFonts w:ascii="Eurostile T OT" w:eastAsia="Times New Roman" w:hAnsi="Eurostile T OT"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023AC4"/>
    <w:multiLevelType w:val="hybridMultilevel"/>
    <w:tmpl w:val="633EBB9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5180C3F"/>
    <w:multiLevelType w:val="hybridMultilevel"/>
    <w:tmpl w:val="0A1AFA2C"/>
    <w:lvl w:ilvl="0" w:tplc="2870C5D6">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6">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5"/>
  </w:num>
  <w:num w:numId="4">
    <w:abstractNumId w:val="12"/>
  </w:num>
  <w:num w:numId="5">
    <w:abstractNumId w:val="4"/>
  </w:num>
  <w:num w:numId="6">
    <w:abstractNumId w:val="16"/>
  </w:num>
  <w:num w:numId="7">
    <w:abstractNumId w:val="2"/>
  </w:num>
  <w:num w:numId="8">
    <w:abstractNumId w:val="8"/>
  </w:num>
  <w:num w:numId="9">
    <w:abstractNumId w:val="6"/>
  </w:num>
  <w:num w:numId="10">
    <w:abstractNumId w:val="10"/>
  </w:num>
  <w:num w:numId="11">
    <w:abstractNumId w:val="0"/>
  </w:num>
  <w:num w:numId="12">
    <w:abstractNumId w:val="1"/>
  </w:num>
  <w:num w:numId="13">
    <w:abstractNumId w:val="3"/>
  </w:num>
  <w:num w:numId="14">
    <w:abstractNumId w:val="13"/>
  </w:num>
  <w:num w:numId="15">
    <w:abstractNumId w:val="9"/>
  </w:num>
  <w:num w:numId="16">
    <w:abstractNumId w:val="14"/>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2ADC"/>
    <w:rsid w:val="001839B8"/>
    <w:rsid w:val="00192AE4"/>
    <w:rsid w:val="001B2BAE"/>
    <w:rsid w:val="0020312E"/>
    <w:rsid w:val="0021276E"/>
    <w:rsid w:val="002658C8"/>
    <w:rsid w:val="00273C64"/>
    <w:rsid w:val="002A5008"/>
    <w:rsid w:val="002E5060"/>
    <w:rsid w:val="00303380"/>
    <w:rsid w:val="00367525"/>
    <w:rsid w:val="003B6491"/>
    <w:rsid w:val="003B7C44"/>
    <w:rsid w:val="003C48CB"/>
    <w:rsid w:val="003F7B43"/>
    <w:rsid w:val="0040380B"/>
    <w:rsid w:val="0041792F"/>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2B82"/>
    <w:rsid w:val="00B13AC9"/>
    <w:rsid w:val="00B36C1F"/>
    <w:rsid w:val="00B62CF6"/>
    <w:rsid w:val="00B63263"/>
    <w:rsid w:val="00B730C9"/>
    <w:rsid w:val="00B73CA3"/>
    <w:rsid w:val="00BA66E0"/>
    <w:rsid w:val="00BC31AB"/>
    <w:rsid w:val="00BF27E6"/>
    <w:rsid w:val="00BF2F65"/>
    <w:rsid w:val="00C253D7"/>
    <w:rsid w:val="00C45893"/>
    <w:rsid w:val="00C824BC"/>
    <w:rsid w:val="00C8709F"/>
    <w:rsid w:val="00C946F1"/>
    <w:rsid w:val="00CA633E"/>
    <w:rsid w:val="00CC5B4A"/>
    <w:rsid w:val="00CE520C"/>
    <w:rsid w:val="00D2647B"/>
    <w:rsid w:val="00D64C6C"/>
    <w:rsid w:val="00D71269"/>
    <w:rsid w:val="00D87340"/>
    <w:rsid w:val="00E5176E"/>
    <w:rsid w:val="00E64E5F"/>
    <w:rsid w:val="00EB01D0"/>
    <w:rsid w:val="00EC1401"/>
    <w:rsid w:val="00EC6AE5"/>
    <w:rsid w:val="00F515A8"/>
    <w:rsid w:val="00FD0C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451</Words>
  <Characters>2576</Characters>
  <Application>Microsoft Office Word</Application>
  <DocSecurity>0</DocSecurity>
  <Lines>21</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15</cp:revision>
  <cp:lastPrinted>2015-10-19T08:04:00Z</cp:lastPrinted>
  <dcterms:created xsi:type="dcterms:W3CDTF">2016-11-11T13:08:00Z</dcterms:created>
  <dcterms:modified xsi:type="dcterms:W3CDTF">2017-06-02T09:00:00Z</dcterms:modified>
</cp:coreProperties>
</file>