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Default="00857B5B" w:rsidP="00857B5B">
      <w:pPr>
        <w:pStyle w:val="Bezmezer"/>
        <w:rPr>
          <w:noProof/>
          <w:lang w:val="sk-SK" w:eastAsia="cs-CZ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36152" wp14:editId="48D9735C">
                <wp:simplePos x="0" y="0"/>
                <wp:positionH relativeFrom="column">
                  <wp:posOffset>2567305</wp:posOffset>
                </wp:positionH>
                <wp:positionV relativeFrom="paragraph">
                  <wp:posOffset>-443230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 w:rsidR="00857B5B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Peter Gallovič 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857B5B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Expert v oblasti odpadového hospodárstva. V súčasnosti pracuje v poradensko-konzultačnej firme pôsobiacej v oblasti životného prostredia. Venuje sa lektorskej a publikačnej činnosti. Je spoluautorom viacerých odborných publikácií z oblasti odpadového hospodárstva.</w:t>
                            </w:r>
                          </w:p>
                          <w:p w:rsidR="00857B5B" w:rsidRDefault="00857B5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857B5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78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857B5B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spol. s r.o., Martina Rázusa 23A, ZA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02.15pt;margin-top:-34.9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DL4j/s4wAAAAwBAAAPAAAAAAAAAAAAAAAAAO8EAABkcnMv&#10;ZG93bnJldi54bWxQSwUGAAAAAAQABADzAAAA/wUAAAAA&#10;" fillcolor="white [3201]" stroked="f" strokeweight=".5pt">
                <v:textbox>
                  <w:txbxContent>
                    <w:p w:rsid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Ing. </w:t>
                      </w:r>
                      <w:r w:rsidR="00857B5B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Peter Gallovič 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857B5B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Expert v oblasti odpadového hospodárstva. V súčasnosti pracuje v poradensko-konzultačnej firme pôsobiacej v oblasti životného prostredia. Venuje sa lektorskej a publikačnej činnosti. Je spoluautorom viacerých odborných publikácií z oblasti odpadového hospodárstva.</w:t>
                      </w:r>
                    </w:p>
                    <w:p w:rsidR="00857B5B" w:rsidRDefault="00857B5B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857B5B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78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857B5B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spol. s r.o., Martina Rázusa 23A, ZA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3872" wp14:editId="30A157B3">
                <wp:simplePos x="0" y="0"/>
                <wp:positionH relativeFrom="page">
                  <wp:posOffset>485775</wp:posOffset>
                </wp:positionH>
                <wp:positionV relativeFrom="page">
                  <wp:posOffset>581025</wp:posOffset>
                </wp:positionV>
                <wp:extent cx="6743700" cy="1098550"/>
                <wp:effectExtent l="0" t="0" r="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5B" w:rsidRPr="00083EE0" w:rsidRDefault="00857B5B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Nový zákon o odpadoch, vykonávacie predpisy – aplikačná prax + schválené a pripravované zmeny</w:t>
                            </w:r>
                          </w:p>
                          <w:p w:rsidR="00A51EC8" w:rsidRPr="00933551" w:rsidRDefault="00857B5B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12. 9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38.25pt;margin-top:45.75pt;width:531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" filled="f" stroked="f">
                <v:textbox inset="0,0,0,0">
                  <w:txbxContent>
                    <w:p w:rsidR="00857B5B" w:rsidRPr="00083EE0" w:rsidRDefault="00857B5B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Nový zákon o odpadoch, vykonávacie predpisy – aplikačná prax + schválené a pripravované zmeny</w:t>
                      </w:r>
                    </w:p>
                    <w:p w:rsidR="00A51EC8" w:rsidRPr="00933551" w:rsidRDefault="00857B5B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12. 9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8AE4DF0" wp14:editId="11F0B6D9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</w:p>
    <w:p w:rsidR="00857B5B" w:rsidRDefault="00857B5B" w:rsidP="00857B5B">
      <w:pPr>
        <w:pStyle w:val="Bezmezer"/>
        <w:rPr>
          <w:noProof/>
          <w:lang w:val="sk-SK" w:eastAsia="cs-CZ"/>
        </w:rPr>
      </w:pPr>
    </w:p>
    <w:p w:rsidR="00857B5B" w:rsidRDefault="00857B5B" w:rsidP="00857B5B">
      <w:pPr>
        <w:pStyle w:val="Bezmezer"/>
        <w:rPr>
          <w:noProof/>
          <w:lang w:val="sk-SK" w:eastAsia="cs-CZ"/>
        </w:rPr>
      </w:pPr>
    </w:p>
    <w:p w:rsidR="00857B5B" w:rsidRDefault="00857B5B" w:rsidP="00857B5B">
      <w:pPr>
        <w:pStyle w:val="Bezmezer"/>
        <w:rPr>
          <w:noProof/>
          <w:lang w:val="sk-SK" w:eastAsia="cs-CZ"/>
        </w:rPr>
      </w:pPr>
    </w:p>
    <w:p w:rsidR="00857B5B" w:rsidRDefault="00857B5B" w:rsidP="00857B5B">
      <w:pPr>
        <w:pStyle w:val="Bezmezer"/>
        <w:rPr>
          <w:noProof/>
          <w:lang w:val="sk-SK" w:eastAsia="cs-CZ"/>
        </w:rPr>
      </w:pPr>
    </w:p>
    <w:p w:rsidR="00857B5B" w:rsidRDefault="00857B5B" w:rsidP="00857B5B">
      <w:pPr>
        <w:pStyle w:val="Bezmezer"/>
        <w:rPr>
          <w:noProof/>
          <w:lang w:val="sk-SK" w:eastAsia="cs-CZ"/>
        </w:rPr>
      </w:pPr>
    </w:p>
    <w:p w:rsidR="00857B5B" w:rsidRDefault="00857B5B" w:rsidP="00857B5B">
      <w:pPr>
        <w:pStyle w:val="Bezmezer"/>
        <w:rPr>
          <w:noProof/>
          <w:lang w:val="sk-SK" w:eastAsia="cs-CZ"/>
        </w:rPr>
      </w:pPr>
    </w:p>
    <w:p w:rsidR="00857B5B" w:rsidRPr="00083EE0" w:rsidRDefault="00857B5B" w:rsidP="00857B5B">
      <w:pPr>
        <w:pStyle w:val="Bezmezer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Prehľad právnych predpisov odpadového hospodárstva + schválené a pripravované zmeny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Prehľad štruktúry zákona o odpadoch a orientácia v ňom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Základné ustanovenia a základné pojmy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Programové dokumenty OH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Povinnosti právnických osôb a fyzických osôb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Rozšírená zodpovednosť výrobcov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Osobitné prúdy odpadov – stavebné odpady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Komunálny odpad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Administratívne nástroje – povolenia na činnosti nakladania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Orgány štátnej správy odpadového hospodárstva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Zodpovednosť za porušenie povinností – prehľad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Prechodné a záverečné ustanovenia – upozornenie na ešte platné</w:t>
      </w:r>
      <w:bookmarkStart w:id="0" w:name="_GoBack"/>
      <w:bookmarkEnd w:id="0"/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Prehľad ustanovení vykonávacích predpisov – vyhlášky</w:t>
      </w:r>
    </w:p>
    <w:p w:rsidR="00857B5B" w:rsidRPr="00857B5B" w:rsidRDefault="00857B5B" w:rsidP="00857B5B">
      <w:pPr>
        <w:pStyle w:val="Normlnweb"/>
        <w:numPr>
          <w:ilvl w:val="0"/>
          <w:numId w:val="42"/>
        </w:numPr>
        <w:shd w:val="clear" w:color="auto" w:fill="F8F8F8"/>
        <w:spacing w:before="0" w:beforeAutospacing="0" w:after="0" w:afterAutospacing="0" w:line="270" w:lineRule="atLeast"/>
        <w:rPr>
          <w:rFonts w:ascii="Eurostile T OT" w:hAnsi="Eurostile T OT" w:cs="Arial"/>
          <w:color w:val="282828"/>
        </w:rPr>
      </w:pPr>
      <w:r w:rsidRPr="00857B5B">
        <w:rPr>
          <w:rFonts w:ascii="Eurostile T OT" w:hAnsi="Eurostile T OT" w:cs="Arial"/>
          <w:color w:val="282828"/>
        </w:rPr>
        <w:t>Diskusia</w:t>
      </w:r>
    </w:p>
    <w:p w:rsidR="008463FE" w:rsidRDefault="00857B5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2BDE4" wp14:editId="191BAAE6">
                <wp:simplePos x="0" y="0"/>
                <wp:positionH relativeFrom="column">
                  <wp:posOffset>3580765</wp:posOffset>
                </wp:positionH>
                <wp:positionV relativeFrom="paragraph">
                  <wp:posOffset>292735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281.95pt;margin-top:23.0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7KcSz4AAAAAkBAAAPAAAAZHJzL2Rv&#10;d25yZXYueG1sTI8xT8MwEIX3SvwH65BYKuoE2oiEXCqEqNQOHQgs3dz4SCLic2S7bfj3uBOMp/fp&#10;ve/K9WQGcSbne8sI6SIBQdxY3XOL8PmxuX8C4YNirQbLhPBDHtbVzaxUhbYXfqdzHVoRS9gXCqEL&#10;YSyk9E1HRvmFHYlj9mWdUSGerpXaqUssN4N8SJJMGtVzXOjUSK8dNd/1ySDs/WE7P7jtZl57LXdE&#10;+7ddGhDvbqeXZxCBpvAHw1U/qkMVnY72xNqLAWGVPeYRRVhmKYgIZGm+BHFEyLMVyKqU/z+ofgE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7KcSz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FBED8" wp14:editId="4AD962CC">
                <wp:simplePos x="0" y="0"/>
                <wp:positionH relativeFrom="column">
                  <wp:posOffset>-6985</wp:posOffset>
                </wp:positionH>
                <wp:positionV relativeFrom="paragraph">
                  <wp:posOffset>47625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857B5B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78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9" type="#_x0000_t202" style="position:absolute;margin-left:-.55pt;margin-top:3.7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857B5B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78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00F64" wp14:editId="4D4B3CA7">
                <wp:simplePos x="0" y="0"/>
                <wp:positionH relativeFrom="column">
                  <wp:posOffset>1102360</wp:posOffset>
                </wp:positionH>
                <wp:positionV relativeFrom="paragraph">
                  <wp:posOffset>33655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857B5B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12. 9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0" type="#_x0000_t202" style="position:absolute;margin-left:86.8pt;margin-top:2.65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SxzUv94AAAAI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857B5B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12. 9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857B5B">
    <w:pPr>
      <w:pStyle w:val="Zhlav"/>
    </w:pPr>
    <w:r>
      <w:rPr>
        <w:noProof/>
        <w:lang w:eastAsia="sk-SK"/>
      </w:rPr>
      <w:drawing>
        <wp:inline distT="0" distB="0" distL="0" distR="0">
          <wp:extent cx="1509645" cy="6286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adca podnikateľ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4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5DF7"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5126355</wp:posOffset>
          </wp:positionH>
          <wp:positionV relativeFrom="paragraph">
            <wp:posOffset>170180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35E4E"/>
    <w:multiLevelType w:val="hybridMultilevel"/>
    <w:tmpl w:val="2356E7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83115"/>
    <w:multiLevelType w:val="hybridMultilevel"/>
    <w:tmpl w:val="9E6C2F14"/>
    <w:lvl w:ilvl="0" w:tplc="305235CE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31"/>
  </w:num>
  <w:num w:numId="4">
    <w:abstractNumId w:val="29"/>
  </w:num>
  <w:num w:numId="5">
    <w:abstractNumId w:val="35"/>
  </w:num>
  <w:num w:numId="6">
    <w:abstractNumId w:val="9"/>
  </w:num>
  <w:num w:numId="7">
    <w:abstractNumId w:val="25"/>
  </w:num>
  <w:num w:numId="8">
    <w:abstractNumId w:val="27"/>
  </w:num>
  <w:num w:numId="9">
    <w:abstractNumId w:val="0"/>
  </w:num>
  <w:num w:numId="10">
    <w:abstractNumId w:val="18"/>
  </w:num>
  <w:num w:numId="11">
    <w:abstractNumId w:val="39"/>
  </w:num>
  <w:num w:numId="12">
    <w:abstractNumId w:val="17"/>
  </w:num>
  <w:num w:numId="13">
    <w:abstractNumId w:val="6"/>
  </w:num>
  <w:num w:numId="14">
    <w:abstractNumId w:val="32"/>
  </w:num>
  <w:num w:numId="15">
    <w:abstractNumId w:val="5"/>
  </w:num>
  <w:num w:numId="16">
    <w:abstractNumId w:val="10"/>
  </w:num>
  <w:num w:numId="17">
    <w:abstractNumId w:val="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34"/>
  </w:num>
  <w:num w:numId="24">
    <w:abstractNumId w:val="16"/>
  </w:num>
  <w:num w:numId="25">
    <w:abstractNumId w:val="36"/>
  </w:num>
  <w:num w:numId="26">
    <w:abstractNumId w:val="15"/>
  </w:num>
  <w:num w:numId="27">
    <w:abstractNumId w:val="30"/>
  </w:num>
  <w:num w:numId="28">
    <w:abstractNumId w:val="24"/>
  </w:num>
  <w:num w:numId="29">
    <w:abstractNumId w:val="26"/>
  </w:num>
  <w:num w:numId="30">
    <w:abstractNumId w:val="3"/>
  </w:num>
  <w:num w:numId="31">
    <w:abstractNumId w:val="22"/>
  </w:num>
  <w:num w:numId="32">
    <w:abstractNumId w:val="37"/>
  </w:num>
  <w:num w:numId="33">
    <w:abstractNumId w:val="23"/>
  </w:num>
  <w:num w:numId="34">
    <w:abstractNumId w:val="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9"/>
  </w:num>
  <w:num w:numId="38">
    <w:abstractNumId w:val="5"/>
  </w:num>
  <w:num w:numId="39">
    <w:abstractNumId w:val="12"/>
  </w:num>
  <w:num w:numId="40">
    <w:abstractNumId w:val="7"/>
  </w:num>
  <w:num w:numId="41">
    <w:abstractNumId w:val="11"/>
  </w:num>
  <w:num w:numId="42">
    <w:abstractNumId w:val="2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57B5B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paragraph" w:styleId="Nadpis1">
    <w:name w:val="heading 1"/>
    <w:basedOn w:val="Normln"/>
    <w:link w:val="Nadpis1Char"/>
    <w:uiPriority w:val="9"/>
    <w:qFormat/>
    <w:rsid w:val="0085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7B5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paragraph" w:styleId="Nadpis1">
    <w:name w:val="heading 1"/>
    <w:basedOn w:val="Normln"/>
    <w:link w:val="Nadpis1Char"/>
    <w:uiPriority w:val="9"/>
    <w:qFormat/>
    <w:rsid w:val="0085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7B5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9A41-A4A2-4EAB-8ED5-1EF06FB0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2</cp:revision>
  <cp:lastPrinted>2013-08-26T10:50:00Z</cp:lastPrinted>
  <dcterms:created xsi:type="dcterms:W3CDTF">2016-06-29T09:13:00Z</dcterms:created>
  <dcterms:modified xsi:type="dcterms:W3CDTF">2016-06-29T09:13:00Z</dcterms:modified>
</cp:coreProperties>
</file>