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316230</wp:posOffset>
                </wp:positionV>
                <wp:extent cx="4900736" cy="69532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736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E4" w:rsidRPr="001C500E" w:rsidRDefault="008C737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KOŠICE - Zákon o verejnom obstarávaní pre začiatočníkov (detailne a prakticky)</w:t>
                            </w:r>
                          </w:p>
                          <w:p w:rsidR="007579A4" w:rsidRPr="001C500E" w:rsidRDefault="008C7376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25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– 26.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1. 2017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24.9pt;width:385.9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uiCQIAAOcDAAAOAAAAZHJzL2Uyb0RvYy54bWysU1tu2zAQ/C/QOxD8ryU7thsLpoM0aYoC&#10;6QNIegCaoiyiJJclaUvujXqOXqxLynKC9K+oPoiVuDu7MztaX/VGk4P0QYFldDopKZFWQK3sjtFv&#10;j3dvLikJkduaa7CS0aMM9Grz+tW6c5WcQQu6lp4giA1V5xhtY3RVUQTRSsPDBJy0eNmANzziq98V&#10;tecdohtdzMpyWXTga+dByBDw6+1wSTcZv2mkiF+aJshINKM4W8ynz+c2ncVmzaud565V4jQG/4cp&#10;DFcWm56hbnnkZO/VX1BGCQ8BmjgRYApoGiVk5oBspuULNg8tdzJzQXGCO8sU/h+s+Hz46omqGZ1T&#10;YrnBFT3KPsLh9y/iQEsyTxJ1LlSY+eAwN/bvoMdVZ7rB3YP4HoiFm5bbnbz2HrpW8hpHnKbK4lnp&#10;gBMSyLb7BDX24vsIGahvvEn6oSIE0XFVx/N6cB4i8ON8VZZvL5aUCLxbrhYXs0Vuwaux2vkQP0gw&#10;JAWMelx/RueH+xDTNLwaU1IzC3dK62wBbUnH6GqBkC9ujIroUK0Mo5dlegbPJJLvbZ2LI1d6iLGB&#10;tifWiehAOfbbHhOTFFuoj8jfw+BE/HMwaMH/pKRDFzIafuy5l5TojxY1TJYdAz8G2zHgVmApo5GS&#10;IbyJ2doDg2vUtlGZ9lPn02zopqzGyfnJrs/fc9bT/7n5AwAA//8DAFBLAwQUAAYACAAAACEAE33H&#10;e90AAAAHAQAADwAAAGRycy9kb3ducmV2LnhtbEyPzU7DMBCE70i8g7VI3KhTftomjVNVCE5IiDQc&#10;ODrxNrEar0PstuHtWU7lNqsZzXybbybXixOOwXpSMJ8lIJAabyy1Cj6r17sViBA1Gd17QgU/GGBT&#10;XF/lOjP+TCWedrEVXEIh0wq6GIdMytB06HSY+QGJvb0fnY58jq00oz5zuevlfZIspNOWeKHTAz53&#10;2Bx2R6dg+0Xli/1+rz/KfWmrKk3obXFQ6vZm2q5BRJziJQx/+IwOBTPV/kgmiF4BPxIVPKbMz+5y&#10;OWdRc+wpfQBZ5PI/f/ELAAD//wMAUEsBAi0AFAAGAAgAAAAhALaDOJL+AAAA4QEAABMAAAAAAAAA&#10;AAAAAAAAAAAAAFtDb250ZW50X1R5cGVzXS54bWxQSwECLQAUAAYACAAAACEAOP0h/9YAAACUAQAA&#10;CwAAAAAAAAAAAAAAAAAvAQAAX3JlbHMvLnJlbHNQSwECLQAUAAYACAAAACEAgckLogkCAADnAwAA&#10;DgAAAAAAAAAAAAAAAAAuAgAAZHJzL2Uyb0RvYy54bWxQSwECLQAUAAYACAAAACEAE33He90AAAAH&#10;AQAADwAAAAAAAAAAAAAAAABjBAAAZHJzL2Rvd25yZXYueG1sUEsFBgAAAAAEAAQA8wAAAG0FAAAA&#10;AA==&#10;" filled="f" stroked="f">
                <v:textbox inset="0,0,0,0">
                  <w:txbxContent>
                    <w:p w:rsidR="00CD48E4" w:rsidRPr="001C500E" w:rsidRDefault="008C7376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KOŠICE - Zákon o verejnom obstarávaní pre začiatočníkov (detailne a prakticky)</w:t>
                      </w:r>
                    </w:p>
                    <w:p w:rsidR="007579A4" w:rsidRPr="001C500E" w:rsidRDefault="008C7376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25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– 26.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1. 2017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8C7376" w:rsidRDefault="008C7376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8C7376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4D0BEF" w:rsidRPr="008C7376" w:rsidRDefault="008C7376" w:rsidP="007579A4">
      <w:pPr>
        <w:rPr>
          <w:rFonts w:ascii="Eurostile T OT" w:hAnsi="Eurostile T OT" w:cs="Calibri"/>
          <w:noProof/>
          <w:szCs w:val="22"/>
          <w:lang w:val="sk-SK"/>
        </w:rPr>
      </w:pP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Externá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lektorka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spoločnosti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OTIDEA,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špecializuje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sa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na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konzultačnú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činnosť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a poradenstvo v oblasti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verejného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obstarávania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, zároveň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komplexne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zabezpečuje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verejné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obstarávanie pre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obstarávateľov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ako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 aj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uchádzačov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 xml:space="preserve">/ </w:t>
      </w:r>
      <w:proofErr w:type="spellStart"/>
      <w:r w:rsidRPr="008C7376">
        <w:rPr>
          <w:rFonts w:ascii="Eurostile T OT" w:hAnsi="Eurostile T OT" w:cs="Arial"/>
          <w:szCs w:val="22"/>
          <w:shd w:val="clear" w:color="auto" w:fill="FFFFFF"/>
        </w:rPr>
        <w:t>dodávateľov</w:t>
      </w:r>
      <w:proofErr w:type="spellEnd"/>
      <w:r w:rsidRPr="008C7376">
        <w:rPr>
          <w:rFonts w:ascii="Eurostile T OT" w:hAnsi="Eurostile T OT" w:cs="Arial"/>
          <w:szCs w:val="22"/>
          <w:shd w:val="clear" w:color="auto" w:fill="FFFFFF"/>
        </w:rPr>
        <w:t>.</w:t>
      </w:r>
    </w:p>
    <w:p w:rsidR="008C7376" w:rsidRDefault="008C7376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7579A4" w:rsidRDefault="001C500E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</w:t>
      </w:r>
      <w:r w:rsidR="008C7376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56</w:t>
      </w: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8C7376" w:rsidRDefault="008C7376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Cs w:val="22"/>
          <w:lang w:val="sk-SK"/>
        </w:rPr>
      </w:pPr>
      <w:proofErr w:type="spellStart"/>
      <w:r w:rsidRPr="008C7376">
        <w:rPr>
          <w:rFonts w:ascii="Eurostile T OT" w:hAnsi="Eurostile T OT" w:cs="Calibri"/>
          <w:bCs/>
          <w:szCs w:val="22"/>
          <w:lang w:val="sk-SK"/>
        </w:rPr>
        <w:t>Kultúrno</w:t>
      </w:r>
      <w:proofErr w:type="spellEnd"/>
      <w:r w:rsidRPr="008C7376">
        <w:rPr>
          <w:rFonts w:ascii="Eurostile T OT" w:hAnsi="Eurostile T OT" w:cs="Calibri"/>
          <w:bCs/>
          <w:szCs w:val="22"/>
          <w:lang w:val="sk-SK"/>
        </w:rPr>
        <w:t xml:space="preserve"> – spoločenské centrum, </w:t>
      </w:r>
      <w:proofErr w:type="spellStart"/>
      <w:r w:rsidRPr="008C7376">
        <w:rPr>
          <w:rFonts w:ascii="Eurostile T OT" w:hAnsi="Eurostile T OT" w:cs="Calibri"/>
          <w:bCs/>
          <w:szCs w:val="22"/>
          <w:lang w:val="sk-SK"/>
        </w:rPr>
        <w:t>Jedlíková</w:t>
      </w:r>
      <w:proofErr w:type="spellEnd"/>
      <w:r w:rsidRPr="008C7376">
        <w:rPr>
          <w:rFonts w:ascii="Eurostile T OT" w:hAnsi="Eurostile T OT" w:cs="Calibri"/>
          <w:bCs/>
          <w:szCs w:val="22"/>
          <w:lang w:val="sk-SK"/>
        </w:rPr>
        <w:t xml:space="preserve"> 7, Košice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</w:t>
      </w:r>
      <w:r w:rsidR="008C7376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ia:</w:t>
      </w:r>
    </w:p>
    <w:p w:rsidR="008C7376" w:rsidRPr="008C7376" w:rsidRDefault="008C7376" w:rsidP="008C7376">
      <w:pPr>
        <w:pStyle w:val="Odsekzoznamu"/>
        <w:numPr>
          <w:ilvl w:val="0"/>
          <w:numId w:val="14"/>
        </w:numPr>
        <w:spacing w:after="200" w:line="276" w:lineRule="auto"/>
        <w:jc w:val="both"/>
        <w:rPr>
          <w:rFonts w:ascii="Eurostile T OT" w:hAnsi="Eurostile T OT"/>
          <w:szCs w:val="22"/>
        </w:rPr>
      </w:pPr>
      <w:proofErr w:type="spellStart"/>
      <w:r w:rsidRPr="008C7376">
        <w:rPr>
          <w:rFonts w:ascii="Eurostile T OT" w:hAnsi="Eurostile T OT"/>
          <w:szCs w:val="22"/>
        </w:rPr>
        <w:t>Prípravná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fáza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verejného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obstarávania</w:t>
      </w:r>
      <w:proofErr w:type="spellEnd"/>
      <w:r w:rsidRPr="008C7376">
        <w:rPr>
          <w:rFonts w:ascii="Eurostile T OT" w:hAnsi="Eurostile T OT"/>
          <w:szCs w:val="22"/>
        </w:rPr>
        <w:t xml:space="preserve">: </w:t>
      </w:r>
    </w:p>
    <w:p w:rsidR="008C7376" w:rsidRPr="008C7376" w:rsidRDefault="008C7376" w:rsidP="008C7376">
      <w:pPr>
        <w:pStyle w:val="Odsekzoznamu"/>
        <w:numPr>
          <w:ilvl w:val="1"/>
          <w:numId w:val="14"/>
        </w:numPr>
        <w:spacing w:after="200" w:line="276" w:lineRule="auto"/>
        <w:jc w:val="both"/>
        <w:rPr>
          <w:rFonts w:ascii="Eurostile T OT" w:hAnsi="Eurostile T OT"/>
          <w:szCs w:val="22"/>
        </w:rPr>
      </w:pPr>
      <w:proofErr w:type="spellStart"/>
      <w:r w:rsidRPr="008C7376">
        <w:rPr>
          <w:rFonts w:ascii="Eurostile T OT" w:hAnsi="Eurostile T OT"/>
          <w:szCs w:val="22"/>
        </w:rPr>
        <w:t>Stanovenie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predpokladanej</w:t>
      </w:r>
      <w:proofErr w:type="spellEnd"/>
      <w:r w:rsidRPr="008C7376">
        <w:rPr>
          <w:rFonts w:ascii="Eurostile T OT" w:hAnsi="Eurostile T OT"/>
          <w:szCs w:val="22"/>
        </w:rPr>
        <w:t xml:space="preserve"> hodnoty </w:t>
      </w:r>
      <w:proofErr w:type="spellStart"/>
      <w:r w:rsidRPr="008C7376">
        <w:rPr>
          <w:rFonts w:ascii="Eurostile T OT" w:hAnsi="Eurostile T OT"/>
          <w:szCs w:val="22"/>
        </w:rPr>
        <w:t>zákazky</w:t>
      </w:r>
      <w:proofErr w:type="spellEnd"/>
      <w:r w:rsidRPr="008C7376">
        <w:rPr>
          <w:rFonts w:ascii="Eurostile T OT" w:hAnsi="Eurostile T OT"/>
          <w:szCs w:val="22"/>
        </w:rPr>
        <w:t xml:space="preserve">; </w:t>
      </w:r>
      <w:proofErr w:type="spellStart"/>
      <w:r w:rsidRPr="008C7376">
        <w:rPr>
          <w:rFonts w:ascii="Eurostile T OT" w:hAnsi="Eurostile T OT"/>
          <w:szCs w:val="22"/>
        </w:rPr>
        <w:t>výber</w:t>
      </w:r>
      <w:proofErr w:type="spellEnd"/>
      <w:r w:rsidRPr="008C7376">
        <w:rPr>
          <w:rFonts w:ascii="Eurostile T OT" w:hAnsi="Eurostile T OT"/>
          <w:szCs w:val="22"/>
        </w:rPr>
        <w:t xml:space="preserve"> postupu VO; opis </w:t>
      </w:r>
      <w:proofErr w:type="spellStart"/>
      <w:r w:rsidRPr="008C7376">
        <w:rPr>
          <w:rFonts w:ascii="Eurostile T OT" w:hAnsi="Eurostile T OT"/>
          <w:szCs w:val="22"/>
        </w:rPr>
        <w:t>predmetu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zákazky</w:t>
      </w:r>
      <w:proofErr w:type="spellEnd"/>
      <w:r w:rsidRPr="008C7376">
        <w:rPr>
          <w:rFonts w:ascii="Eurostile T OT" w:hAnsi="Eurostile T OT"/>
          <w:szCs w:val="22"/>
        </w:rPr>
        <w:t xml:space="preserve">; </w:t>
      </w:r>
      <w:proofErr w:type="spellStart"/>
      <w:r w:rsidRPr="008C7376">
        <w:rPr>
          <w:rFonts w:ascii="Eurostile T OT" w:hAnsi="Eurostile T OT"/>
          <w:szCs w:val="22"/>
        </w:rPr>
        <w:t>vypracovanie</w:t>
      </w:r>
      <w:proofErr w:type="spellEnd"/>
      <w:r w:rsidRPr="008C7376">
        <w:rPr>
          <w:rFonts w:ascii="Eurostile T OT" w:hAnsi="Eurostile T OT"/>
          <w:szCs w:val="22"/>
        </w:rPr>
        <w:t xml:space="preserve"> výzvy na </w:t>
      </w:r>
      <w:proofErr w:type="spellStart"/>
      <w:r w:rsidRPr="008C7376">
        <w:rPr>
          <w:rFonts w:ascii="Eurostile T OT" w:hAnsi="Eurostile T OT"/>
          <w:szCs w:val="22"/>
        </w:rPr>
        <w:t>predkladanie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ponúk</w:t>
      </w:r>
      <w:proofErr w:type="spellEnd"/>
      <w:r w:rsidRPr="008C7376">
        <w:rPr>
          <w:rFonts w:ascii="Eurostile T OT" w:hAnsi="Eurostile T OT"/>
          <w:szCs w:val="22"/>
        </w:rPr>
        <w:t xml:space="preserve"> a </w:t>
      </w:r>
      <w:proofErr w:type="spellStart"/>
      <w:r w:rsidRPr="008C7376">
        <w:rPr>
          <w:rFonts w:ascii="Eurostile T OT" w:hAnsi="Eurostile T OT"/>
          <w:szCs w:val="22"/>
        </w:rPr>
        <w:t>súťažných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podkladov</w:t>
      </w:r>
      <w:proofErr w:type="spellEnd"/>
      <w:r w:rsidRPr="008C7376">
        <w:rPr>
          <w:rFonts w:ascii="Eurostile T OT" w:hAnsi="Eurostile T OT"/>
          <w:szCs w:val="22"/>
        </w:rPr>
        <w:t xml:space="preserve">; </w:t>
      </w:r>
      <w:proofErr w:type="spellStart"/>
      <w:r w:rsidRPr="008C7376">
        <w:rPr>
          <w:rFonts w:ascii="Eurostile T OT" w:hAnsi="Eurostile T OT"/>
          <w:szCs w:val="22"/>
        </w:rPr>
        <w:t>podmienky</w:t>
      </w:r>
      <w:proofErr w:type="spellEnd"/>
      <w:r w:rsidRPr="008C7376">
        <w:rPr>
          <w:rFonts w:ascii="Eurostile T OT" w:hAnsi="Eurostile T OT"/>
          <w:szCs w:val="22"/>
        </w:rPr>
        <w:t xml:space="preserve"> účasti; </w:t>
      </w:r>
      <w:proofErr w:type="spellStart"/>
      <w:r w:rsidRPr="008C7376">
        <w:rPr>
          <w:rFonts w:ascii="Eurostile T OT" w:hAnsi="Eurostile T OT"/>
          <w:szCs w:val="22"/>
        </w:rPr>
        <w:t>kritériá</w:t>
      </w:r>
      <w:proofErr w:type="spellEnd"/>
      <w:r w:rsidRPr="008C7376">
        <w:rPr>
          <w:rFonts w:ascii="Eurostile T OT" w:hAnsi="Eurostile T OT"/>
          <w:szCs w:val="22"/>
        </w:rPr>
        <w:t xml:space="preserve"> na </w:t>
      </w:r>
      <w:proofErr w:type="spellStart"/>
      <w:r w:rsidRPr="008C7376">
        <w:rPr>
          <w:rFonts w:ascii="Eurostile T OT" w:hAnsi="Eurostile T OT"/>
          <w:szCs w:val="22"/>
        </w:rPr>
        <w:t>vyhodnotenie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ponúk</w:t>
      </w:r>
      <w:proofErr w:type="spellEnd"/>
    </w:p>
    <w:p w:rsidR="008C7376" w:rsidRPr="008C7376" w:rsidRDefault="008C7376" w:rsidP="008C7376">
      <w:pPr>
        <w:pStyle w:val="Odsekzoznamu"/>
        <w:numPr>
          <w:ilvl w:val="0"/>
          <w:numId w:val="14"/>
        </w:numPr>
        <w:jc w:val="both"/>
        <w:rPr>
          <w:rFonts w:ascii="Eurostile T OT" w:hAnsi="Eurostile T OT"/>
          <w:szCs w:val="22"/>
        </w:rPr>
      </w:pPr>
      <w:proofErr w:type="spellStart"/>
      <w:r w:rsidRPr="008C7376">
        <w:rPr>
          <w:rFonts w:ascii="Eurostile T OT" w:hAnsi="Eurostile T OT"/>
          <w:szCs w:val="22"/>
        </w:rPr>
        <w:t>Vyhodnotenie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verejného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obstarávania</w:t>
      </w:r>
      <w:proofErr w:type="spellEnd"/>
      <w:r w:rsidRPr="008C7376">
        <w:rPr>
          <w:rFonts w:ascii="Eurostile T OT" w:hAnsi="Eurostile T OT"/>
          <w:szCs w:val="22"/>
        </w:rPr>
        <w:t xml:space="preserve">: </w:t>
      </w:r>
    </w:p>
    <w:p w:rsidR="008C7376" w:rsidRPr="008C7376" w:rsidRDefault="008C7376" w:rsidP="008C7376">
      <w:pPr>
        <w:pStyle w:val="Odsekzoznamu"/>
        <w:numPr>
          <w:ilvl w:val="1"/>
          <w:numId w:val="14"/>
        </w:numPr>
        <w:jc w:val="both"/>
        <w:rPr>
          <w:rFonts w:ascii="Eurostile T OT" w:hAnsi="Eurostile T OT"/>
          <w:szCs w:val="22"/>
        </w:rPr>
      </w:pPr>
      <w:proofErr w:type="spellStart"/>
      <w:r w:rsidRPr="008C7376">
        <w:rPr>
          <w:rFonts w:ascii="Eurostile T OT" w:hAnsi="Eurostile T OT"/>
          <w:szCs w:val="22"/>
        </w:rPr>
        <w:t>Otváranie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ponúk</w:t>
      </w:r>
      <w:proofErr w:type="spellEnd"/>
      <w:r w:rsidRPr="008C7376">
        <w:rPr>
          <w:rFonts w:ascii="Eurostile T OT" w:hAnsi="Eurostile T OT"/>
          <w:szCs w:val="22"/>
        </w:rPr>
        <w:t xml:space="preserve">; </w:t>
      </w:r>
      <w:proofErr w:type="spellStart"/>
      <w:r w:rsidRPr="008C7376">
        <w:rPr>
          <w:rFonts w:ascii="Eurostile T OT" w:hAnsi="Eurostile T OT"/>
          <w:szCs w:val="22"/>
        </w:rPr>
        <w:t>vyhodnotenie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splnenia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podmienok</w:t>
      </w:r>
      <w:proofErr w:type="spellEnd"/>
      <w:r w:rsidRPr="008C7376">
        <w:rPr>
          <w:rFonts w:ascii="Eurostile T OT" w:hAnsi="Eurostile T OT"/>
          <w:szCs w:val="22"/>
        </w:rPr>
        <w:t xml:space="preserve"> účasti; </w:t>
      </w:r>
      <w:proofErr w:type="spellStart"/>
      <w:r w:rsidRPr="008C7376">
        <w:rPr>
          <w:rFonts w:ascii="Eurostile T OT" w:hAnsi="Eurostile T OT"/>
          <w:szCs w:val="22"/>
        </w:rPr>
        <w:t>vyhodnotenie</w:t>
      </w:r>
      <w:proofErr w:type="spellEnd"/>
      <w:r w:rsidRPr="008C7376">
        <w:rPr>
          <w:rFonts w:ascii="Eurostile T OT" w:hAnsi="Eurostile T OT"/>
          <w:szCs w:val="22"/>
        </w:rPr>
        <w:t xml:space="preserve"> z </w:t>
      </w:r>
      <w:proofErr w:type="spellStart"/>
      <w:r w:rsidRPr="008C7376">
        <w:rPr>
          <w:rFonts w:ascii="Eurostile T OT" w:hAnsi="Eurostile T OT"/>
          <w:szCs w:val="22"/>
        </w:rPr>
        <w:t>hľadiska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splnenia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požiadaviek</w:t>
      </w:r>
      <w:proofErr w:type="spellEnd"/>
      <w:r w:rsidRPr="008C7376">
        <w:rPr>
          <w:rFonts w:ascii="Eurostile T OT" w:hAnsi="Eurostile T OT"/>
          <w:szCs w:val="22"/>
        </w:rPr>
        <w:t xml:space="preserve"> na </w:t>
      </w:r>
      <w:proofErr w:type="spellStart"/>
      <w:r w:rsidRPr="008C7376">
        <w:rPr>
          <w:rFonts w:ascii="Eurostile T OT" w:hAnsi="Eurostile T OT"/>
          <w:szCs w:val="22"/>
        </w:rPr>
        <w:t>predmet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zákazky</w:t>
      </w:r>
      <w:proofErr w:type="spellEnd"/>
      <w:r w:rsidRPr="008C7376">
        <w:rPr>
          <w:rFonts w:ascii="Eurostile T OT" w:hAnsi="Eurostile T OT"/>
          <w:szCs w:val="22"/>
        </w:rPr>
        <w:t xml:space="preserve">, náležitostí  </w:t>
      </w:r>
      <w:proofErr w:type="spellStart"/>
      <w:r w:rsidRPr="008C7376">
        <w:rPr>
          <w:rFonts w:ascii="Eurostile T OT" w:hAnsi="Eurostile T OT"/>
          <w:szCs w:val="22"/>
        </w:rPr>
        <w:t>ponúk</w:t>
      </w:r>
      <w:proofErr w:type="spellEnd"/>
      <w:r w:rsidRPr="008C7376">
        <w:rPr>
          <w:rFonts w:ascii="Eurostile T OT" w:hAnsi="Eurostile T OT"/>
          <w:szCs w:val="22"/>
        </w:rPr>
        <w:t xml:space="preserve"> a kritérií; </w:t>
      </w:r>
      <w:proofErr w:type="spellStart"/>
      <w:r w:rsidRPr="008C7376">
        <w:rPr>
          <w:rFonts w:ascii="Eurostile T OT" w:hAnsi="Eurostile T OT"/>
          <w:szCs w:val="22"/>
        </w:rPr>
        <w:t>priebeh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elektronickej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aukcie</w:t>
      </w:r>
      <w:proofErr w:type="spellEnd"/>
      <w:r w:rsidRPr="008C7376">
        <w:rPr>
          <w:rFonts w:ascii="Eurostile T OT" w:hAnsi="Eurostile T OT"/>
          <w:szCs w:val="22"/>
        </w:rPr>
        <w:t xml:space="preserve">; </w:t>
      </w:r>
      <w:proofErr w:type="spellStart"/>
      <w:r w:rsidRPr="008C7376">
        <w:rPr>
          <w:rFonts w:ascii="Eurostile T OT" w:hAnsi="Eurostile T OT"/>
          <w:szCs w:val="22"/>
        </w:rPr>
        <w:t>zriadenie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komisie</w:t>
      </w:r>
      <w:proofErr w:type="spellEnd"/>
      <w:r w:rsidRPr="008C7376">
        <w:rPr>
          <w:rFonts w:ascii="Eurostile T OT" w:hAnsi="Eurostile T OT"/>
          <w:szCs w:val="22"/>
        </w:rPr>
        <w:t xml:space="preserve"> na </w:t>
      </w:r>
      <w:proofErr w:type="spellStart"/>
      <w:r w:rsidRPr="008C7376">
        <w:rPr>
          <w:rFonts w:ascii="Eurostile T OT" w:hAnsi="Eurostile T OT"/>
          <w:szCs w:val="22"/>
        </w:rPr>
        <w:t>vyhodnotenie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ponúk</w:t>
      </w:r>
      <w:proofErr w:type="spellEnd"/>
      <w:r w:rsidRPr="008C7376">
        <w:rPr>
          <w:rFonts w:ascii="Eurostile T OT" w:hAnsi="Eurostile T OT"/>
          <w:szCs w:val="22"/>
        </w:rPr>
        <w:t xml:space="preserve">; konflikt </w:t>
      </w:r>
      <w:proofErr w:type="spellStart"/>
      <w:r w:rsidRPr="008C7376">
        <w:rPr>
          <w:rFonts w:ascii="Eurostile T OT" w:hAnsi="Eurostile T OT"/>
          <w:szCs w:val="22"/>
        </w:rPr>
        <w:t>záujmov</w:t>
      </w:r>
      <w:proofErr w:type="spellEnd"/>
    </w:p>
    <w:p w:rsidR="008C7376" w:rsidRPr="008C7376" w:rsidRDefault="008C7376" w:rsidP="008C7376">
      <w:pPr>
        <w:pStyle w:val="Odsekzoznamu"/>
        <w:numPr>
          <w:ilvl w:val="0"/>
          <w:numId w:val="14"/>
        </w:numPr>
        <w:spacing w:after="120"/>
        <w:jc w:val="both"/>
        <w:rPr>
          <w:rFonts w:ascii="Eurostile T OT" w:hAnsi="Eurostile T OT"/>
          <w:szCs w:val="22"/>
        </w:rPr>
      </w:pPr>
      <w:proofErr w:type="spellStart"/>
      <w:r w:rsidRPr="008C7376">
        <w:rPr>
          <w:rFonts w:ascii="Eurostile T OT" w:hAnsi="Eurostile T OT"/>
          <w:szCs w:val="22"/>
        </w:rPr>
        <w:t>Výsledok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verejného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obstarávania</w:t>
      </w:r>
      <w:proofErr w:type="spellEnd"/>
      <w:r w:rsidRPr="008C7376">
        <w:rPr>
          <w:rFonts w:ascii="Eurostile T OT" w:hAnsi="Eurostile T OT"/>
          <w:szCs w:val="22"/>
        </w:rPr>
        <w:t xml:space="preserve">: </w:t>
      </w:r>
    </w:p>
    <w:p w:rsidR="008C7376" w:rsidRPr="008C7376" w:rsidRDefault="008C7376" w:rsidP="008C7376">
      <w:pPr>
        <w:pStyle w:val="Odsekzoznamu"/>
        <w:numPr>
          <w:ilvl w:val="1"/>
          <w:numId w:val="14"/>
        </w:numPr>
        <w:spacing w:after="120"/>
        <w:jc w:val="both"/>
        <w:rPr>
          <w:rFonts w:ascii="Eurostile T OT" w:hAnsi="Eurostile T OT"/>
          <w:szCs w:val="22"/>
        </w:rPr>
      </w:pPr>
      <w:proofErr w:type="spellStart"/>
      <w:r w:rsidRPr="008C7376">
        <w:rPr>
          <w:rFonts w:ascii="Eurostile T OT" w:hAnsi="Eurostile T OT"/>
          <w:szCs w:val="22"/>
        </w:rPr>
        <w:t>Uzavretie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zmluvy</w:t>
      </w:r>
      <w:proofErr w:type="spellEnd"/>
      <w:r w:rsidRPr="008C7376">
        <w:rPr>
          <w:rFonts w:ascii="Eurostile T OT" w:hAnsi="Eurostile T OT"/>
          <w:szCs w:val="22"/>
        </w:rPr>
        <w:t xml:space="preserve">; </w:t>
      </w:r>
      <w:proofErr w:type="spellStart"/>
      <w:r w:rsidRPr="008C7376">
        <w:rPr>
          <w:rFonts w:ascii="Eurostile T OT" w:hAnsi="Eurostile T OT"/>
          <w:szCs w:val="22"/>
        </w:rPr>
        <w:t>podpísanie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dodatkov</w:t>
      </w:r>
      <w:proofErr w:type="spellEnd"/>
    </w:p>
    <w:p w:rsidR="008C7376" w:rsidRPr="008C7376" w:rsidRDefault="008C7376" w:rsidP="008C7376">
      <w:pPr>
        <w:pStyle w:val="Odsekzoznamu"/>
        <w:numPr>
          <w:ilvl w:val="0"/>
          <w:numId w:val="14"/>
        </w:numPr>
        <w:spacing w:after="120" w:line="240" w:lineRule="atLeast"/>
        <w:jc w:val="both"/>
        <w:textAlignment w:val="baseline"/>
        <w:rPr>
          <w:rFonts w:ascii="Eurostile T OT" w:hAnsi="Eurostile T OT" w:cs="Arial"/>
          <w:color w:val="000000"/>
          <w:sz w:val="32"/>
          <w:szCs w:val="27"/>
        </w:rPr>
      </w:pPr>
      <w:proofErr w:type="spellStart"/>
      <w:r w:rsidRPr="008C7376">
        <w:rPr>
          <w:rFonts w:ascii="Eurostile T OT" w:hAnsi="Eurostile T OT"/>
          <w:szCs w:val="22"/>
        </w:rPr>
        <w:t>Informačné</w:t>
      </w:r>
      <w:proofErr w:type="spellEnd"/>
      <w:r w:rsidRPr="008C7376">
        <w:rPr>
          <w:rFonts w:ascii="Eurostile T OT" w:hAnsi="Eurostile T OT"/>
          <w:szCs w:val="22"/>
        </w:rPr>
        <w:t xml:space="preserve"> povinnosti: </w:t>
      </w:r>
    </w:p>
    <w:p w:rsidR="002C5D8D" w:rsidRPr="008C7376" w:rsidRDefault="008C7376" w:rsidP="008C7376">
      <w:pPr>
        <w:pStyle w:val="Odsekzoznamu"/>
        <w:numPr>
          <w:ilvl w:val="1"/>
          <w:numId w:val="14"/>
        </w:numPr>
        <w:spacing w:after="120" w:line="240" w:lineRule="atLeast"/>
        <w:jc w:val="both"/>
        <w:textAlignment w:val="baseline"/>
        <w:rPr>
          <w:rFonts w:ascii="Eurostile T OT" w:hAnsi="Eurostile T OT" w:cs="Arial"/>
          <w:color w:val="000000"/>
          <w:sz w:val="32"/>
          <w:szCs w:val="27"/>
        </w:rPr>
      </w:pPr>
      <w:r w:rsidRPr="008C7376">
        <w:rPr>
          <w:rFonts w:ascii="Eurostile T OT" w:hAnsi="Eurostile T OT" w:cs="Arial"/>
          <w:noProof/>
          <w:color w:val="000000"/>
          <w:sz w:val="32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CC681" wp14:editId="5627F61D">
                <wp:simplePos x="0" y="0"/>
                <wp:positionH relativeFrom="column">
                  <wp:posOffset>76200</wp:posOffset>
                </wp:positionH>
                <wp:positionV relativeFrom="paragraph">
                  <wp:posOffset>688975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8C7376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25. - 26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.1.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1CD615CA" wp14:editId="5C0EBAD3">
                                  <wp:extent cx="352425" cy="314325"/>
                                  <wp:effectExtent l="0" t="0" r="9525" b="9525"/>
                                  <wp:docPr id="10" name="Obrázo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="008C7376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="008C7376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.:</w:t>
                            </w:r>
                            <w:r w:rsidR="008C7376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 …………...…………….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Cena za 1 osobu 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</w:t>
                            </w:r>
                            <w:r w:rsidR="00AC1268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56</w:t>
                            </w:r>
                            <w:bookmarkStart w:id="0" w:name="_GoBack"/>
                            <w:bookmarkEnd w:id="0"/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9" o:spid="_x0000_s1027" type="#_x0000_t202" style="position:absolute;left:0;text-align:left;margin-left:6pt;margin-top:54.25pt;width:510.1pt;height:3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VmGo1+EAAAALAQAADwAAAGRycy9kb3ducmV2&#10;LnhtbEyPwU7DMBBE70j8g7VI3KhNWkMJcSpUBDckKEioNzc2cUS8tmK3Sfl6tic4rUY7mnlTrSbf&#10;s4MdUhdQwfVMALPYBNNhq+Dj/elqCSxljUb3Aa2Co02wqs/PKl2aMOKbPWxyyygEU6kVuJxjyXlq&#10;nPU6zUK0SL+vMHidSQ4tN4MeKdz3vBDihnvdITU4He3a2eZ7s/cK1o+L58+tlD/8Zf7qohtjc1xs&#10;lbq8mB7ugWU75T8znPAJHWpi2oU9msR60gVNyXTFUgI7GcS8KIDtFNzKOwm8rvj/DfUvAAAA//8D&#10;AFBLAQItABQABgAIAAAAIQC2gziS/gAAAOEBAAATAAAAAAAAAAAAAAAAAAAAAABbQ29udGVudF9U&#10;eXBlc10ueG1sUEsBAi0AFAAGAAgAAAAhADj9If/WAAAAlAEAAAsAAAAAAAAAAAAAAAAALwEAAF9y&#10;ZWxzLy5yZWxzUEsBAi0AFAAGAAgAAAAhAF3EDKwqAgAANQQAAA4AAAAAAAAAAAAAAAAALgIAAGRy&#10;cy9lMm9Eb2MueG1sUEsBAi0AFAAGAAgAAAAhAFZhqNfhAAAACwEAAA8AAAAAAAAAAAAAAAAAhAQA&#10;AGRycy9kb3ducmV2LnhtbFBLBQYAAAAABAAEAPMAAACSBQAAAAA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8C7376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25. - 26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.1.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1CD615CA" wp14:editId="5C0EBAD3">
                            <wp:extent cx="352425" cy="314325"/>
                            <wp:effectExtent l="0" t="0" r="9525" b="9525"/>
                            <wp:docPr id="10" name="Obrázo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="008C7376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="008C7376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.:</w:t>
                      </w:r>
                      <w:r w:rsidR="008C7376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 …………...…………….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1</w:t>
                      </w:r>
                      <w:r w:rsidR="00AC1268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56</w:t>
                      </w:r>
                      <w:bookmarkStart w:id="1" w:name="_GoBack"/>
                      <w:bookmarkEnd w:id="1"/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Pr="008C7376">
        <w:rPr>
          <w:rFonts w:ascii="Eurostile T OT" w:hAnsi="Eurostile T OT"/>
          <w:szCs w:val="22"/>
        </w:rPr>
        <w:t xml:space="preserve">Povinnosti </w:t>
      </w:r>
      <w:proofErr w:type="spellStart"/>
      <w:r w:rsidRPr="008C7376">
        <w:rPr>
          <w:rFonts w:ascii="Eurostile T OT" w:hAnsi="Eurostile T OT"/>
          <w:szCs w:val="22"/>
        </w:rPr>
        <w:t>vo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vzťahu</w:t>
      </w:r>
      <w:proofErr w:type="spellEnd"/>
      <w:r w:rsidRPr="008C7376">
        <w:rPr>
          <w:rFonts w:ascii="Eurostile T OT" w:hAnsi="Eurostile T OT"/>
          <w:szCs w:val="22"/>
        </w:rPr>
        <w:t xml:space="preserve"> k </w:t>
      </w:r>
      <w:proofErr w:type="spellStart"/>
      <w:r w:rsidRPr="008C7376">
        <w:rPr>
          <w:rFonts w:ascii="Eurostile T OT" w:hAnsi="Eurostile T OT"/>
          <w:szCs w:val="22"/>
        </w:rPr>
        <w:t>uverejňovaniu</w:t>
      </w:r>
      <w:proofErr w:type="spellEnd"/>
      <w:r w:rsidRPr="008C7376">
        <w:rPr>
          <w:rFonts w:ascii="Eurostile T OT" w:hAnsi="Eurostile T OT"/>
          <w:szCs w:val="22"/>
        </w:rPr>
        <w:t xml:space="preserve"> v profile; </w:t>
      </w:r>
      <w:proofErr w:type="spellStart"/>
      <w:r w:rsidRPr="008C7376">
        <w:rPr>
          <w:rFonts w:ascii="Eurostile T OT" w:hAnsi="Eurostile T OT"/>
          <w:szCs w:val="22"/>
        </w:rPr>
        <w:t>informačné</w:t>
      </w:r>
      <w:proofErr w:type="spellEnd"/>
      <w:r w:rsidRPr="008C7376">
        <w:rPr>
          <w:rFonts w:ascii="Eurostile T OT" w:hAnsi="Eurostile T OT"/>
          <w:szCs w:val="22"/>
        </w:rPr>
        <w:t xml:space="preserve"> povinnosti </w:t>
      </w:r>
      <w:proofErr w:type="spellStart"/>
      <w:r w:rsidRPr="008C7376">
        <w:rPr>
          <w:rFonts w:ascii="Eurostile T OT" w:hAnsi="Eurostile T OT"/>
          <w:szCs w:val="22"/>
        </w:rPr>
        <w:t>voči</w:t>
      </w:r>
      <w:proofErr w:type="spellEnd"/>
      <w:r w:rsidRPr="008C7376">
        <w:rPr>
          <w:rFonts w:ascii="Eurostile T OT" w:hAnsi="Eurostile T OT"/>
          <w:szCs w:val="22"/>
        </w:rPr>
        <w:t xml:space="preserve"> </w:t>
      </w:r>
      <w:proofErr w:type="spellStart"/>
      <w:r w:rsidRPr="008C7376">
        <w:rPr>
          <w:rFonts w:ascii="Eurostile T OT" w:hAnsi="Eurostile T OT"/>
          <w:szCs w:val="22"/>
        </w:rPr>
        <w:t>úradu</w:t>
      </w:r>
      <w:proofErr w:type="spellEnd"/>
      <w:r w:rsidRPr="008C7376">
        <w:rPr>
          <w:rFonts w:ascii="Eurostile T OT" w:hAnsi="Eurostile T OT"/>
          <w:szCs w:val="22"/>
        </w:rPr>
        <w:t xml:space="preserve">; </w:t>
      </w:r>
      <w:proofErr w:type="spellStart"/>
      <w:r w:rsidRPr="008C7376">
        <w:rPr>
          <w:rFonts w:ascii="Eurostile T OT" w:hAnsi="Eurostile T OT"/>
          <w:szCs w:val="22"/>
        </w:rPr>
        <w:t>informačné</w:t>
      </w:r>
      <w:proofErr w:type="spellEnd"/>
      <w:r w:rsidRPr="008C7376">
        <w:rPr>
          <w:rFonts w:ascii="Eurostile T OT" w:hAnsi="Eurostile T OT"/>
          <w:szCs w:val="22"/>
        </w:rPr>
        <w:t xml:space="preserve"> povinnosti</w:t>
      </w:r>
      <w:r w:rsidRPr="008C7376">
        <w:rPr>
          <w:rFonts w:ascii="Eurostile T OT" w:hAnsi="Eurostile T OT"/>
          <w:sz w:val="28"/>
        </w:rPr>
        <w:t xml:space="preserve"> </w:t>
      </w:r>
      <w:proofErr w:type="spellStart"/>
      <w:r w:rsidRPr="008C7376">
        <w:rPr>
          <w:rFonts w:ascii="Eurostile T OT" w:hAnsi="Eurostile T OT"/>
        </w:rPr>
        <w:t>voči</w:t>
      </w:r>
      <w:proofErr w:type="spellEnd"/>
      <w:r w:rsidRPr="008C7376">
        <w:rPr>
          <w:rFonts w:ascii="Eurostile T OT" w:hAnsi="Eurostile T OT"/>
        </w:rPr>
        <w:t xml:space="preserve"> samotným </w:t>
      </w:r>
      <w:proofErr w:type="spellStart"/>
      <w:r w:rsidRPr="008C7376">
        <w:rPr>
          <w:rFonts w:ascii="Eurostile T OT" w:hAnsi="Eurostile T OT"/>
        </w:rPr>
        <w:t>uchádzačom</w:t>
      </w:r>
      <w:proofErr w:type="spellEnd"/>
      <w:r w:rsidRPr="008C7376">
        <w:rPr>
          <w:rFonts w:ascii="Eurostile T OT" w:hAnsi="Eurostile T OT"/>
        </w:rPr>
        <w:t xml:space="preserve"> (</w:t>
      </w:r>
      <w:proofErr w:type="spellStart"/>
      <w:r w:rsidRPr="008C7376">
        <w:rPr>
          <w:rFonts w:ascii="Eurostile T OT" w:hAnsi="Eurostile T OT"/>
        </w:rPr>
        <w:t>záujemcom</w:t>
      </w:r>
      <w:proofErr w:type="spellEnd"/>
      <w:r w:rsidRPr="008C7376">
        <w:rPr>
          <w:rFonts w:ascii="Eurostile T OT" w:hAnsi="Eurostile T OT"/>
        </w:rPr>
        <w:t>)</w:t>
      </w:r>
    </w:p>
    <w:sectPr w:rsidR="002C5D8D" w:rsidRPr="008C7376" w:rsidSect="002C5D8D">
      <w:headerReference w:type="default" r:id="rId9"/>
      <w:footerReference w:type="default" r:id="rId10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010"/>
    <w:multiLevelType w:val="hybridMultilevel"/>
    <w:tmpl w:val="B2F4D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6032F"/>
    <w:multiLevelType w:val="hybridMultilevel"/>
    <w:tmpl w:val="B43856C8"/>
    <w:lvl w:ilvl="0" w:tplc="F9920E02">
      <w:start w:val="13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C5408"/>
    <w:multiLevelType w:val="hybridMultilevel"/>
    <w:tmpl w:val="219233AE"/>
    <w:lvl w:ilvl="0" w:tplc="112C0962">
      <w:start w:val="1"/>
      <w:numFmt w:val="bullet"/>
      <w:lvlText w:val=""/>
      <w:lvlJc w:val="left"/>
      <w:pPr>
        <w:ind w:left="862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1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C7376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C1268"/>
    <w:rsid w:val="00AD3035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3</cp:revision>
  <cp:lastPrinted>2016-01-11T15:47:00Z</cp:lastPrinted>
  <dcterms:created xsi:type="dcterms:W3CDTF">2016-11-18T13:36:00Z</dcterms:created>
  <dcterms:modified xsi:type="dcterms:W3CDTF">2016-12-06T14:06:00Z</dcterms:modified>
</cp:coreProperties>
</file>