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7239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A1" w:rsidRDefault="00EE44A1" w:rsidP="00C46C6F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E44A1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Podlimitné zákazky (s/bez využitia elektronického trhoviska) a zákazky s nízkou hodnotou</w:t>
                            </w:r>
                          </w:p>
                          <w:p w:rsidR="007579A4" w:rsidRPr="001C500E" w:rsidRDefault="00EE44A1" w:rsidP="00C46C6F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12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C3A08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" filled="f" stroked="f">
                <v:textbox inset="0,0,0,0">
                  <w:txbxContent>
                    <w:p w:rsidR="00EE44A1" w:rsidRDefault="00EE44A1" w:rsidP="00C46C6F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EE44A1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Podlimitné zákazky (s/bez využitia elektronického trhoviska) a zákazky s nízkou hodnotou</w:t>
                      </w:r>
                    </w:p>
                    <w:p w:rsidR="007579A4" w:rsidRPr="001C500E" w:rsidRDefault="00EE44A1" w:rsidP="00C46C6F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12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C3A08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211E64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Helena Polónyi</w:t>
      </w:r>
    </w:p>
    <w:p w:rsidR="00211E64" w:rsidRDefault="00211E64" w:rsidP="00211E64">
      <w:pPr>
        <w:rPr>
          <w:rFonts w:ascii="Eurostile T OT" w:hAnsi="Eurostile T OT" w:cs="Calibri"/>
          <w:noProof/>
          <w:sz w:val="22"/>
          <w:szCs w:val="22"/>
          <w:lang w:val="sk-SK"/>
        </w:rPr>
      </w:pPr>
      <w:r>
        <w:rPr>
          <w:rFonts w:ascii="Eurostile T OT" w:hAnsi="Eurostile T OT" w:cs="Calibri"/>
          <w:noProof/>
          <w:sz w:val="22"/>
          <w:szCs w:val="22"/>
          <w:lang w:val="sk-SK"/>
        </w:rPr>
        <w:t>u</w:t>
      </w:r>
      <w:r w:rsidRPr="005A392E">
        <w:rPr>
          <w:rFonts w:ascii="Eurostile T OT" w:hAnsi="Eurostile T OT" w:cs="Calibri"/>
          <w:noProof/>
          <w:sz w:val="22"/>
          <w:szCs w:val="22"/>
          <w:lang w:val="sk-SK"/>
        </w:rPr>
        <w:t>znávaná dlhoročná odborníčka pre oblasť verejného obstarávania a oblasť systémov manažérstv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a kvality, environmentu a BOZP.</w:t>
      </w:r>
    </w:p>
    <w:p w:rsidR="00211E64" w:rsidRDefault="00211E64" w:rsidP="00211E64">
      <w:pPr>
        <w:rPr>
          <w:rFonts w:ascii="Eurostile T OT" w:hAnsi="Eurostile T OT" w:cs="Calibri"/>
          <w:noProof/>
          <w:sz w:val="22"/>
          <w:szCs w:val="22"/>
          <w:lang w:val="sk-SK"/>
        </w:rPr>
      </w:pPr>
    </w:p>
    <w:p w:rsidR="007579A4" w:rsidRDefault="00211E64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Výnimky zo zákona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 xml:space="preserve">Príloha č. 1 zákona 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FF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>Zmeny finančných limitov od 1.6.2017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Bežná dostupnosť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Podlimitné zákazky podľa § 108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Podlimitné zákazky s využitím ET § 109 - 112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Podlimitné zákazky bez využitia ET (§ 113 až 116)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Zákazky s nízkou hodnotou podľa § 117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FF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 xml:space="preserve">Register partnerov verejného sektora </w:t>
      </w:r>
      <w:proofErr w:type="spellStart"/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>versus</w:t>
      </w:r>
      <w:proofErr w:type="spellEnd"/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 xml:space="preserve"> ZNH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 xml:space="preserve">Diskusia </w:t>
      </w:r>
    </w:p>
    <w:p w:rsidR="006D1777" w:rsidRPr="00211E64" w:rsidRDefault="006D1777" w:rsidP="006D1777">
      <w:p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ECBCE" wp14:editId="0AAD5FB4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EE44A1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12</w:t>
                            </w:r>
                            <w:r w:rsidR="00DC3A08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EE44A1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0BBB305" wp14:editId="1BCFA00F">
                                  <wp:extent cx="352425" cy="314325"/>
                                  <wp:effectExtent l="0" t="0" r="9525" b="9525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211E64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EE44A1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12</w:t>
                      </w:r>
                      <w:r w:rsidR="00DC3A08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EE44A1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7</w:t>
                      </w:r>
                      <w:bookmarkStart w:id="1" w:name="_GoBack"/>
                      <w:bookmarkEnd w:id="1"/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0BBB305" wp14:editId="1BCFA00F">
                            <wp:extent cx="352425" cy="314325"/>
                            <wp:effectExtent l="0" t="0" r="9525" b="9525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211E64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83D22E8" wp14:editId="1C70DFB2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1427918" wp14:editId="5E2C67DB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8992A1A" wp14:editId="56F116B6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4B5D"/>
    <w:multiLevelType w:val="hybridMultilevel"/>
    <w:tmpl w:val="D208FD80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1231E34"/>
    <w:multiLevelType w:val="hybridMultilevel"/>
    <w:tmpl w:val="E8DE0C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81418"/>
    <w:multiLevelType w:val="hybridMultilevel"/>
    <w:tmpl w:val="99026E8A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1E64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D1777"/>
    <w:rsid w:val="006E14F9"/>
    <w:rsid w:val="00703ACB"/>
    <w:rsid w:val="00741FB0"/>
    <w:rsid w:val="007579A4"/>
    <w:rsid w:val="00771F25"/>
    <w:rsid w:val="007C4D6F"/>
    <w:rsid w:val="008409FC"/>
    <w:rsid w:val="008847FB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C078F"/>
    <w:rsid w:val="00BF2F65"/>
    <w:rsid w:val="00C46C6F"/>
    <w:rsid w:val="00C50EF5"/>
    <w:rsid w:val="00CA633E"/>
    <w:rsid w:val="00CC5B4A"/>
    <w:rsid w:val="00CD48E4"/>
    <w:rsid w:val="00CE520C"/>
    <w:rsid w:val="00D71269"/>
    <w:rsid w:val="00D87340"/>
    <w:rsid w:val="00DC3A08"/>
    <w:rsid w:val="00E5176E"/>
    <w:rsid w:val="00E64E5F"/>
    <w:rsid w:val="00EA0FA2"/>
    <w:rsid w:val="00EB01D0"/>
    <w:rsid w:val="00EC1401"/>
    <w:rsid w:val="00EE44A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2</cp:revision>
  <cp:lastPrinted>2016-01-11T15:47:00Z</cp:lastPrinted>
  <dcterms:created xsi:type="dcterms:W3CDTF">2017-06-06T08:00:00Z</dcterms:created>
  <dcterms:modified xsi:type="dcterms:W3CDTF">2017-06-06T08:00:00Z</dcterms:modified>
</cp:coreProperties>
</file>